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  <w:tcBorders>
              <w:bottom w:val="single" w:sz="4" w:space="0" w:color="auto"/>
            </w:tcBorders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, 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Név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,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beosztás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>,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aláírása*</w:t>
      </w:r>
    </w:p>
    <w:p>
      <w:pPr>
        <w:spacing w:after="0" w:line="240" w:lineRule="auto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</w:rPr>
        <w:t>*Elektronikus ügyintézés esetén elektronikus aláírással és időbélyegzővel ellátva</w:t>
      </w: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bookmarkStart w:id="4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 péntek: 8 – 12 óra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contextualSpacing/>
        <w:jc w:val="both"/>
        <w:rPr>
          <w:sz w:val="14"/>
          <w:szCs w:val="14"/>
        </w:rPr>
      </w:pPr>
      <w:r>
        <w:rPr>
          <w:sz w:val="14"/>
          <w:szCs w:val="14"/>
        </w:rPr>
        <w:footnoteRef/>
      </w:r>
      <w:r>
        <w:rPr>
          <w:sz w:val="14"/>
          <w:szCs w:val="14"/>
        </w:rPr>
        <w:t xml:space="preserve"> Abban az esetben kell kitölteni, amennyiben ismert a foglalkoztatni kívánt személy</w:t>
      </w:r>
    </w:p>
  </w:footnote>
  <w:footnote w:id="2">
    <w:p>
      <w:pPr>
        <w:pStyle w:val="Lbjegyzetszveg"/>
        <w:ind w:left="-567"/>
        <w:contextualSpacing/>
        <w:jc w:val="both"/>
        <w:rPr>
          <w:sz w:val="14"/>
          <w:szCs w:val="14"/>
        </w:rPr>
      </w:pPr>
      <w:r>
        <w:rPr>
          <w:sz w:val="14"/>
          <w:szCs w:val="14"/>
        </w:rPr>
        <w:footnoteRef/>
      </w:r>
      <w:r>
        <w:rPr>
          <w:sz w:val="14"/>
          <w:szCs w:val="14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57150</wp:posOffset>
          </wp:positionH>
          <wp:positionV relativeFrom="paragraph">
            <wp:posOffset>-229235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Bicskei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3FC4-B151-444A-BFE0-8173CE15F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dcterms:created xsi:type="dcterms:W3CDTF">2025-07-30T13:26:00Z</dcterms:created>
  <dcterms:modified xsi:type="dcterms:W3CDTF">2025-12-04T09:30:00Z</dcterms:modified>
</cp:coreProperties>
</file>